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维保服务</w:t>
      </w:r>
      <w:r>
        <w:rPr>
          <w:rFonts w:hint="eastAsia" w:ascii="华文中宋" w:hAnsi="华文中宋" w:eastAsia="华文中宋" w:cs="华文中宋"/>
          <w:sz w:val="21"/>
          <w:szCs w:val="21"/>
        </w:rPr>
        <w:t>报价单模板</w:t>
      </w:r>
    </w:p>
    <w:tbl>
      <w:tblPr>
        <w:tblStyle w:val="6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2586" w:tblpY="1013"/>
        <w:tblOverlap w:val="never"/>
        <w:tblW w:w="119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90"/>
        <w:gridCol w:w="5040"/>
        <w:gridCol w:w="2385"/>
        <w:gridCol w:w="2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</w:rPr>
              <w:t>项目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</w:rPr>
              <w:t>项目说明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</w:rPr>
              <w:t>原厂价格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1"/>
                <w:szCs w:val="21"/>
              </w:rPr>
              <w:t>副厂价格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电池部分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S系列主电池损坏更换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S系列辅电池损坏更换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电源小板损坏更换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PC部分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原厂23.8寸显示器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显示器电源线更换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CPU更换至i5-6300u，可支持兼容4G模块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CPU更换至i5-10210U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内存4GB  DDR3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内存8GB DDR3（如更换16GB可用两条8GB）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硬盘128GB固态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硬盘256GB固态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CPU风扇散热模组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键盘（有线）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鼠标（有线）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车轮损坏更换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4寸双面普通轮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4寸双面刹车轮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保修政策</w:t>
            </w:r>
          </w:p>
        </w:tc>
        <w:tc>
          <w:tcPr>
            <w:tcW w:w="9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1.相同故障同一部件质保3个月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en-US" w:eastAsia="zh-CN"/>
              </w:rPr>
              <w:t>2.报价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</w:rPr>
              <w:t>为含税价格，开票内容为维修费或信息技术服务费。</w:t>
            </w:r>
          </w:p>
        </w:tc>
      </w:tr>
    </w:tbl>
    <w:p>
      <w:pPr>
        <w:ind w:right="5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说明：1.该报价为含税总价。</w:t>
      </w:r>
    </w:p>
    <w:p>
      <w:pPr>
        <w:ind w:right="56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2.该报价包含人工、运输及安装等相关费用。</w:t>
      </w:r>
    </w:p>
    <w:p>
      <w:pPr>
        <w:ind w:right="560"/>
        <w:jc w:val="center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更换配件报价单模板</w:t>
      </w:r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3ddfdd26-91a0-434b-9676-a54ceced49f2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6D731194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3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2025-05-26T08:35:41Z</cp:lastPrinted>
  <dcterms:modified xsi:type="dcterms:W3CDTF">2025-05-26T08:35:43Z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